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8A" w:rsidRPr="002D1B8A" w:rsidRDefault="002D1B8A" w:rsidP="00316941">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sz w:val="22"/>
          <w:szCs w:val="22"/>
        </w:rPr>
        <w:t xml:space="preserve">On 23 March 2011, the Premier </w:t>
      </w:r>
      <w:r w:rsidR="00316941">
        <w:rPr>
          <w:rFonts w:ascii="Arial" w:hAnsi="Arial" w:cs="Arial"/>
          <w:sz w:val="22"/>
          <w:szCs w:val="22"/>
        </w:rPr>
        <w:t xml:space="preserve">and Minister for Reconstruction </w:t>
      </w:r>
      <w:r>
        <w:rPr>
          <w:rFonts w:ascii="Arial" w:hAnsi="Arial" w:cs="Arial"/>
          <w:sz w:val="22"/>
          <w:szCs w:val="22"/>
        </w:rPr>
        <w:t xml:space="preserve">released </w:t>
      </w:r>
      <w:r w:rsidRPr="00316941">
        <w:rPr>
          <w:rFonts w:ascii="Arial" w:hAnsi="Arial" w:cs="Arial"/>
          <w:i/>
          <w:sz w:val="22"/>
          <w:szCs w:val="22"/>
        </w:rPr>
        <w:t xml:space="preserve">Operation </w:t>
      </w:r>
      <w:r w:rsidR="00316941" w:rsidRPr="00316941">
        <w:rPr>
          <w:rFonts w:ascii="Arial" w:hAnsi="Arial" w:cs="Arial"/>
          <w:i/>
          <w:sz w:val="22"/>
          <w:szCs w:val="22"/>
        </w:rPr>
        <w:t>Queenslander</w:t>
      </w:r>
      <w:r w:rsidRPr="00316941">
        <w:rPr>
          <w:rFonts w:ascii="Arial" w:hAnsi="Arial" w:cs="Arial"/>
          <w:i/>
          <w:sz w:val="22"/>
          <w:szCs w:val="22"/>
        </w:rPr>
        <w:t xml:space="preserve"> – The State Plan</w:t>
      </w:r>
      <w:r>
        <w:rPr>
          <w:rFonts w:ascii="Arial" w:hAnsi="Arial" w:cs="Arial"/>
          <w:sz w:val="22"/>
          <w:szCs w:val="22"/>
        </w:rPr>
        <w:t>, which sets out the Queensland Reconstruction Authority’s strategic road map to guide the ongoing reconstruction work necessary through all stages of the State’s recovery.</w:t>
      </w:r>
    </w:p>
    <w:p w:rsidR="002D1B8A" w:rsidRDefault="002D1B8A" w:rsidP="00316941">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Implementation Plan sits below the overarching State Plan, and provides the ‘how’ to the massive task of rebuilding the state. This plan establishes the detail for the reconstruction by setting and monitoring key tasks structured along each established Line of Reconstruction:</w:t>
      </w:r>
    </w:p>
    <w:p w:rsidR="002D1B8A" w:rsidRDefault="002D1B8A" w:rsidP="00316941">
      <w:pPr>
        <w:pStyle w:val="ListParagraph"/>
        <w:numPr>
          <w:ilvl w:val="0"/>
          <w:numId w:val="2"/>
        </w:numPr>
        <w:spacing w:before="60" w:after="0" w:line="240" w:lineRule="auto"/>
        <w:ind w:left="709" w:hanging="283"/>
        <w:contextualSpacing w:val="0"/>
        <w:jc w:val="both"/>
        <w:rPr>
          <w:rFonts w:ascii="Arial" w:hAnsi="Arial" w:cs="Arial"/>
        </w:rPr>
      </w:pPr>
      <w:r>
        <w:rPr>
          <w:rFonts w:ascii="Arial" w:hAnsi="Arial" w:cs="Arial"/>
        </w:rPr>
        <w:t>Human and Social</w:t>
      </w:r>
    </w:p>
    <w:p w:rsidR="002D1B8A" w:rsidRDefault="002D1B8A" w:rsidP="00316941">
      <w:pPr>
        <w:pStyle w:val="ListParagraph"/>
        <w:numPr>
          <w:ilvl w:val="0"/>
          <w:numId w:val="2"/>
        </w:numPr>
        <w:spacing w:before="60" w:after="0" w:line="240" w:lineRule="auto"/>
        <w:ind w:left="709" w:hanging="283"/>
        <w:contextualSpacing w:val="0"/>
        <w:jc w:val="both"/>
        <w:rPr>
          <w:rFonts w:ascii="Arial" w:hAnsi="Arial" w:cs="Arial"/>
        </w:rPr>
      </w:pPr>
      <w:r>
        <w:rPr>
          <w:rFonts w:ascii="Arial" w:hAnsi="Arial" w:cs="Arial"/>
        </w:rPr>
        <w:t>Economic</w:t>
      </w:r>
    </w:p>
    <w:p w:rsidR="002D1B8A" w:rsidRDefault="002D1B8A" w:rsidP="00316941">
      <w:pPr>
        <w:pStyle w:val="ListParagraph"/>
        <w:numPr>
          <w:ilvl w:val="0"/>
          <w:numId w:val="2"/>
        </w:numPr>
        <w:spacing w:before="60" w:after="0" w:line="240" w:lineRule="auto"/>
        <w:ind w:left="709" w:hanging="283"/>
        <w:contextualSpacing w:val="0"/>
        <w:jc w:val="both"/>
        <w:rPr>
          <w:rFonts w:ascii="Arial" w:hAnsi="Arial" w:cs="Arial"/>
        </w:rPr>
      </w:pPr>
      <w:r>
        <w:rPr>
          <w:rFonts w:ascii="Arial" w:hAnsi="Arial" w:cs="Arial"/>
        </w:rPr>
        <w:t>Environment</w:t>
      </w:r>
    </w:p>
    <w:p w:rsidR="002D1B8A" w:rsidRDefault="002D1B8A" w:rsidP="00316941">
      <w:pPr>
        <w:pStyle w:val="ListParagraph"/>
        <w:numPr>
          <w:ilvl w:val="0"/>
          <w:numId w:val="2"/>
        </w:numPr>
        <w:spacing w:before="60" w:after="0" w:line="240" w:lineRule="auto"/>
        <w:ind w:left="709" w:hanging="283"/>
        <w:contextualSpacing w:val="0"/>
        <w:jc w:val="both"/>
        <w:rPr>
          <w:rFonts w:ascii="Arial" w:hAnsi="Arial" w:cs="Arial"/>
        </w:rPr>
      </w:pPr>
      <w:r>
        <w:rPr>
          <w:rFonts w:ascii="Arial" w:hAnsi="Arial" w:cs="Arial"/>
        </w:rPr>
        <w:t>Building Recovery</w:t>
      </w:r>
    </w:p>
    <w:p w:rsidR="002D1B8A" w:rsidRDefault="002D1B8A" w:rsidP="00316941">
      <w:pPr>
        <w:pStyle w:val="ListParagraph"/>
        <w:numPr>
          <w:ilvl w:val="0"/>
          <w:numId w:val="2"/>
        </w:numPr>
        <w:spacing w:before="60" w:after="0" w:line="240" w:lineRule="auto"/>
        <w:ind w:left="709" w:hanging="283"/>
        <w:contextualSpacing w:val="0"/>
        <w:jc w:val="both"/>
        <w:rPr>
          <w:rFonts w:ascii="Arial" w:hAnsi="Arial" w:cs="Arial"/>
        </w:rPr>
      </w:pPr>
      <w:r>
        <w:rPr>
          <w:rFonts w:ascii="Arial" w:hAnsi="Arial" w:cs="Arial"/>
        </w:rPr>
        <w:t>Roads and Transport</w:t>
      </w:r>
    </w:p>
    <w:p w:rsidR="002D1B8A" w:rsidRDefault="002D1B8A" w:rsidP="00316941">
      <w:pPr>
        <w:pStyle w:val="ListParagraph"/>
        <w:numPr>
          <w:ilvl w:val="0"/>
          <w:numId w:val="2"/>
        </w:numPr>
        <w:spacing w:before="60" w:after="0" w:line="240" w:lineRule="auto"/>
        <w:ind w:left="709" w:hanging="283"/>
        <w:contextualSpacing w:val="0"/>
        <w:jc w:val="both"/>
        <w:rPr>
          <w:rFonts w:ascii="Arial" w:hAnsi="Arial" w:cs="Arial"/>
        </w:rPr>
      </w:pPr>
      <w:r>
        <w:rPr>
          <w:rFonts w:ascii="Arial" w:hAnsi="Arial" w:cs="Arial"/>
        </w:rPr>
        <w:t>Community Liaison and Communication</w:t>
      </w:r>
    </w:p>
    <w:p w:rsidR="002D1B8A" w:rsidRDefault="002D1B8A" w:rsidP="00316941">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Implementation Plan establishes the Authority’s guidelines around the elements of project control, such as governance, value-for-money assurance, compliance assessment and project reporting.</w:t>
      </w:r>
    </w:p>
    <w:p w:rsidR="002D1B8A" w:rsidRDefault="002D1B8A" w:rsidP="00316941">
      <w:pPr>
        <w:ind w:left="360"/>
        <w:jc w:val="both"/>
        <w:rPr>
          <w:rFonts w:ascii="Arial" w:hAnsi="Arial" w:cs="Arial"/>
          <w:sz w:val="22"/>
          <w:szCs w:val="22"/>
        </w:rPr>
      </w:pPr>
      <w:r>
        <w:rPr>
          <w:rFonts w:ascii="Arial" w:hAnsi="Arial" w:cs="Arial"/>
          <w:sz w:val="22"/>
          <w:szCs w:val="22"/>
        </w:rPr>
        <w:t xml:space="preserve"> </w:t>
      </w:r>
    </w:p>
    <w:p w:rsidR="002D1B8A" w:rsidRDefault="002D1B8A" w:rsidP="00316941">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The Implementation Plan also establishes a number of operating principles guiding the cond</w:t>
      </w:r>
      <w:r w:rsidR="00316941">
        <w:rPr>
          <w:rFonts w:ascii="Arial" w:hAnsi="Arial" w:cs="Arial"/>
          <w:sz w:val="22"/>
          <w:szCs w:val="22"/>
        </w:rPr>
        <w:t>uct of the Authority including:</w:t>
      </w:r>
    </w:p>
    <w:p w:rsidR="002D1B8A" w:rsidRDefault="002D1B8A" w:rsidP="00316941">
      <w:pPr>
        <w:pStyle w:val="ListParagraph"/>
        <w:numPr>
          <w:ilvl w:val="0"/>
          <w:numId w:val="3"/>
        </w:numPr>
        <w:spacing w:before="120" w:after="0" w:line="240" w:lineRule="auto"/>
        <w:ind w:left="709" w:hanging="283"/>
        <w:contextualSpacing w:val="0"/>
        <w:jc w:val="both"/>
        <w:rPr>
          <w:rFonts w:ascii="Arial" w:hAnsi="Arial" w:cs="Arial"/>
        </w:rPr>
      </w:pPr>
      <w:r>
        <w:rPr>
          <w:rFonts w:ascii="Arial" w:hAnsi="Arial" w:cs="Arial"/>
        </w:rPr>
        <w:t xml:space="preserve">Treating </w:t>
      </w:r>
      <w:r w:rsidRPr="00316941">
        <w:rPr>
          <w:rFonts w:ascii="Arial" w:hAnsi="Arial" w:cs="Arial"/>
        </w:rPr>
        <w:t>people as the highest priority,</w:t>
      </w:r>
      <w:r>
        <w:rPr>
          <w:rFonts w:ascii="Arial" w:hAnsi="Arial" w:cs="Arial"/>
        </w:rPr>
        <w:t xml:space="preserve"> supporting their efforts in rebuilding communities, and always ensuring decisions are made with the awareness that people are at the heart of the needs and solutions to the reconstruction.</w:t>
      </w:r>
    </w:p>
    <w:p w:rsidR="002D1B8A" w:rsidRDefault="002D1B8A" w:rsidP="00316941">
      <w:pPr>
        <w:pStyle w:val="ListParagraph"/>
        <w:numPr>
          <w:ilvl w:val="0"/>
          <w:numId w:val="3"/>
        </w:numPr>
        <w:spacing w:before="120" w:after="0" w:line="240" w:lineRule="auto"/>
        <w:ind w:left="709" w:hanging="283"/>
        <w:contextualSpacing w:val="0"/>
        <w:jc w:val="both"/>
        <w:rPr>
          <w:rFonts w:ascii="Arial" w:hAnsi="Arial" w:cs="Arial"/>
        </w:rPr>
      </w:pPr>
      <w:r w:rsidRPr="00316941">
        <w:rPr>
          <w:rFonts w:ascii="Arial" w:hAnsi="Arial" w:cs="Arial"/>
        </w:rPr>
        <w:t>Decisions are to be made at the most relevant level, recognising</w:t>
      </w:r>
      <w:r>
        <w:rPr>
          <w:rFonts w:ascii="Arial" w:hAnsi="Arial" w:cs="Arial"/>
        </w:rPr>
        <w:t xml:space="preserve"> that community led processes are a significant factor in successful community recovery and rebuilding.</w:t>
      </w:r>
    </w:p>
    <w:p w:rsidR="002D1B8A" w:rsidRDefault="002D1B8A" w:rsidP="00316941">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This plan will also inform the development of local plans, which, although not mandatory, are encouraged and will become an important reference for the Lines of Reconstruction Sub-Committees as they carry out their key tasks. The Authority will work together with local government authorities and Lines of Reconstruction Sub-Committees during their development to resolve any issues.</w:t>
      </w:r>
    </w:p>
    <w:p w:rsidR="002D1B8A" w:rsidRPr="005257A2" w:rsidRDefault="002D1B8A" w:rsidP="00316941">
      <w:pPr>
        <w:numPr>
          <w:ilvl w:val="0"/>
          <w:numId w:val="1"/>
        </w:numPr>
        <w:tabs>
          <w:tab w:val="clear" w:pos="720"/>
          <w:tab w:val="num" w:pos="360"/>
        </w:tabs>
        <w:spacing w:before="240"/>
        <w:ind w:left="360"/>
        <w:jc w:val="both"/>
        <w:rPr>
          <w:rFonts w:ascii="Arial" w:hAnsi="Arial" w:cs="Arial"/>
          <w:sz w:val="22"/>
          <w:szCs w:val="22"/>
        </w:rPr>
      </w:pPr>
      <w:r w:rsidRPr="009203B3">
        <w:rPr>
          <w:rFonts w:ascii="Arial" w:hAnsi="Arial" w:cs="Arial"/>
          <w:sz w:val="22"/>
          <w:szCs w:val="22"/>
          <w:u w:val="single"/>
        </w:rPr>
        <w:t>Cabinet endorsed</w:t>
      </w:r>
      <w:r w:rsidRPr="009203B3">
        <w:rPr>
          <w:rFonts w:ascii="Arial" w:hAnsi="Arial" w:cs="Arial"/>
          <w:sz w:val="22"/>
          <w:szCs w:val="22"/>
        </w:rPr>
        <w:t xml:space="preserve"> </w:t>
      </w:r>
      <w:r w:rsidRPr="00316941">
        <w:rPr>
          <w:rFonts w:ascii="Arial" w:hAnsi="Arial" w:cs="Arial"/>
          <w:i/>
          <w:sz w:val="22"/>
          <w:szCs w:val="22"/>
        </w:rPr>
        <w:t>Operation Queenslander – Community, Economic and Environmental Recovery and Reconstruction Implementation Plan 2011-2013</w:t>
      </w:r>
      <w:r>
        <w:rPr>
          <w:rFonts w:ascii="Arial" w:hAnsi="Arial" w:cs="Arial"/>
          <w:sz w:val="22"/>
          <w:szCs w:val="22"/>
        </w:rPr>
        <w:t>.</w:t>
      </w:r>
    </w:p>
    <w:p w:rsidR="002D1B8A" w:rsidRDefault="002D1B8A" w:rsidP="00316941">
      <w:pPr>
        <w:spacing w:before="120"/>
        <w:ind w:left="357"/>
        <w:jc w:val="both"/>
        <w:rPr>
          <w:rFonts w:ascii="Arial" w:hAnsi="Arial" w:cs="Arial"/>
          <w:sz w:val="22"/>
          <w:szCs w:val="22"/>
          <w:u w:val="single"/>
        </w:rPr>
      </w:pPr>
    </w:p>
    <w:p w:rsidR="002D1B8A" w:rsidRPr="002D1B8A" w:rsidRDefault="002D1B8A" w:rsidP="00316941">
      <w:pPr>
        <w:numPr>
          <w:ilvl w:val="0"/>
          <w:numId w:val="1"/>
        </w:numPr>
        <w:tabs>
          <w:tab w:val="clear" w:pos="720"/>
          <w:tab w:val="num" w:pos="360"/>
        </w:tabs>
        <w:ind w:left="360"/>
        <w:jc w:val="both"/>
        <w:rPr>
          <w:rFonts w:ascii="Arial" w:hAnsi="Arial" w:cs="Arial"/>
          <w:sz w:val="22"/>
          <w:szCs w:val="22"/>
        </w:rPr>
      </w:pPr>
      <w:r w:rsidRPr="002D1B8A">
        <w:rPr>
          <w:rFonts w:ascii="Arial" w:hAnsi="Arial" w:cs="Arial"/>
          <w:i/>
          <w:sz w:val="22"/>
          <w:szCs w:val="22"/>
          <w:u w:val="single"/>
        </w:rPr>
        <w:t>Attachments</w:t>
      </w:r>
    </w:p>
    <w:p w:rsidR="004F6074" w:rsidRPr="002D1B8A" w:rsidRDefault="002D40D8" w:rsidP="00316941">
      <w:pPr>
        <w:pStyle w:val="ListParagraph"/>
        <w:numPr>
          <w:ilvl w:val="0"/>
          <w:numId w:val="2"/>
        </w:numPr>
        <w:spacing w:before="120" w:after="0" w:line="240" w:lineRule="auto"/>
        <w:ind w:left="709" w:hanging="284"/>
        <w:contextualSpacing w:val="0"/>
        <w:jc w:val="both"/>
        <w:rPr>
          <w:rFonts w:ascii="Arial" w:hAnsi="Arial" w:cs="Arial"/>
          <w:i/>
        </w:rPr>
      </w:pPr>
      <w:hyperlink r:id="rId7" w:history="1">
        <w:r w:rsidR="002D1B8A" w:rsidRPr="007D0E6D">
          <w:rPr>
            <w:rStyle w:val="Hyperlink"/>
            <w:rFonts w:ascii="Arial" w:hAnsi="Arial" w:cs="Arial"/>
            <w:i/>
          </w:rPr>
          <w:t>Operation Queenslander – Community, Economic and Environmental Recovery and Reconstruction Implementation Plan 2011-2013</w:t>
        </w:r>
      </w:hyperlink>
    </w:p>
    <w:sectPr w:rsidR="004F6074" w:rsidRPr="002D1B8A" w:rsidSect="004F6074">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6B" w:rsidRDefault="0022646B" w:rsidP="002D1B8A">
      <w:r>
        <w:separator/>
      </w:r>
    </w:p>
  </w:endnote>
  <w:endnote w:type="continuationSeparator" w:id="0">
    <w:p w:rsidR="0022646B" w:rsidRDefault="0022646B" w:rsidP="002D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6B" w:rsidRDefault="0022646B" w:rsidP="002D1B8A">
      <w:r>
        <w:separator/>
      </w:r>
    </w:p>
  </w:footnote>
  <w:footnote w:type="continuationSeparator" w:id="0">
    <w:p w:rsidR="0022646B" w:rsidRDefault="0022646B" w:rsidP="002D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8A" w:rsidRDefault="002D1B8A" w:rsidP="00C912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B8A" w:rsidRDefault="002D1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8A" w:rsidRPr="00CF0753" w:rsidRDefault="0077134A" w:rsidP="002D1B8A">
    <w:pPr>
      <w:pStyle w:val="Header"/>
      <w:tabs>
        <w:tab w:val="clear" w:pos="8306"/>
        <w:tab w:val="right" w:pos="9072"/>
      </w:tabs>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D1B8A" w:rsidRPr="000400F9">
      <w:rPr>
        <w:rFonts w:ascii="Arial" w:hAnsi="Arial" w:cs="Arial"/>
        <w:b/>
        <w:sz w:val="22"/>
        <w:szCs w:val="22"/>
        <w:u w:val="single"/>
      </w:rPr>
      <w:t xml:space="preserve">Cabinet – </w:t>
    </w:r>
    <w:r w:rsidR="002D1B8A">
      <w:rPr>
        <w:rFonts w:ascii="Arial" w:hAnsi="Arial" w:cs="Arial"/>
        <w:b/>
        <w:sz w:val="22"/>
        <w:szCs w:val="22"/>
        <w:u w:val="single"/>
      </w:rPr>
      <w:t>April 2011</w:t>
    </w:r>
  </w:p>
  <w:p w:rsidR="002D1B8A" w:rsidRDefault="002D1B8A" w:rsidP="002D1B8A">
    <w:pPr>
      <w:pStyle w:val="Header"/>
      <w:spacing w:before="120"/>
      <w:rPr>
        <w:rFonts w:ascii="Arial" w:hAnsi="Arial" w:cs="Arial"/>
        <w:b/>
        <w:sz w:val="22"/>
        <w:szCs w:val="22"/>
        <w:u w:val="single"/>
      </w:rPr>
    </w:pPr>
    <w:r>
      <w:rPr>
        <w:rFonts w:ascii="Arial" w:hAnsi="Arial" w:cs="Arial"/>
        <w:b/>
        <w:sz w:val="22"/>
        <w:szCs w:val="22"/>
        <w:u w:val="single"/>
      </w:rPr>
      <w:t>Operation Queenslander – Community, Economic and Environmental Recovery and Reconstruction Implementation Plan 2011-2013</w:t>
    </w:r>
  </w:p>
  <w:p w:rsidR="002D1B8A" w:rsidRDefault="002D1B8A" w:rsidP="002D1B8A">
    <w:pPr>
      <w:pStyle w:val="Header"/>
      <w:spacing w:before="120"/>
      <w:rPr>
        <w:rFonts w:ascii="Arial" w:hAnsi="Arial" w:cs="Arial"/>
        <w:b/>
        <w:sz w:val="22"/>
        <w:szCs w:val="22"/>
        <w:u w:val="single"/>
      </w:rPr>
    </w:pPr>
    <w:r>
      <w:rPr>
        <w:rFonts w:ascii="Arial" w:hAnsi="Arial" w:cs="Arial"/>
        <w:b/>
        <w:sz w:val="22"/>
        <w:szCs w:val="22"/>
        <w:u w:val="single"/>
      </w:rPr>
      <w:t>Premier and Minister for Reconstruction</w:t>
    </w:r>
  </w:p>
  <w:p w:rsidR="002D1B8A" w:rsidRDefault="002D1B8A" w:rsidP="002D1B8A">
    <w:pPr>
      <w:pBdr>
        <w:bottom w:val="single" w:sz="4" w:space="1" w:color="auto"/>
      </w:pBdr>
      <w:jc w:val="both"/>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8A" w:rsidRPr="00F10DF9" w:rsidRDefault="002D1B8A" w:rsidP="00C91255">
    <w:pPr>
      <w:pStyle w:val="Heade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5C74"/>
    <w:multiLevelType w:val="hybridMultilevel"/>
    <w:tmpl w:val="2E70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14164F"/>
    <w:multiLevelType w:val="hybridMultilevel"/>
    <w:tmpl w:val="26A4B4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F176F87"/>
    <w:multiLevelType w:val="hybridMultilevel"/>
    <w:tmpl w:val="26760544"/>
    <w:lvl w:ilvl="0" w:tplc="499AE830">
      <w:start w:val="1"/>
      <w:numFmt w:val="decimal"/>
      <w:lvlText w:val="%1."/>
      <w:lvlJc w:val="left"/>
      <w:pPr>
        <w:tabs>
          <w:tab w:val="num" w:pos="720"/>
        </w:tabs>
        <w:ind w:left="720" w:hanging="360"/>
      </w:pPr>
      <w:rPr>
        <w:b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8A"/>
    <w:rsid w:val="00020BCE"/>
    <w:rsid w:val="00022F0A"/>
    <w:rsid w:val="000757DC"/>
    <w:rsid w:val="00083DE1"/>
    <w:rsid w:val="0009109D"/>
    <w:rsid w:val="000B26F3"/>
    <w:rsid w:val="000C32F2"/>
    <w:rsid w:val="00127EB4"/>
    <w:rsid w:val="0013096E"/>
    <w:rsid w:val="00135097"/>
    <w:rsid w:val="001444C3"/>
    <w:rsid w:val="0014784E"/>
    <w:rsid w:val="001649D1"/>
    <w:rsid w:val="00180A1C"/>
    <w:rsid w:val="001A2427"/>
    <w:rsid w:val="001C55D1"/>
    <w:rsid w:val="001C6A26"/>
    <w:rsid w:val="001D43E8"/>
    <w:rsid w:val="00215202"/>
    <w:rsid w:val="0022646B"/>
    <w:rsid w:val="002710C9"/>
    <w:rsid w:val="002D0F0E"/>
    <w:rsid w:val="002D1B8A"/>
    <w:rsid w:val="002D40D8"/>
    <w:rsid w:val="00316941"/>
    <w:rsid w:val="003275A5"/>
    <w:rsid w:val="00332A14"/>
    <w:rsid w:val="00382B40"/>
    <w:rsid w:val="003A6BA7"/>
    <w:rsid w:val="004040D7"/>
    <w:rsid w:val="00420C73"/>
    <w:rsid w:val="0042145F"/>
    <w:rsid w:val="00453327"/>
    <w:rsid w:val="00463334"/>
    <w:rsid w:val="0046671D"/>
    <w:rsid w:val="004971D6"/>
    <w:rsid w:val="004E301B"/>
    <w:rsid w:val="004F6074"/>
    <w:rsid w:val="00501413"/>
    <w:rsid w:val="0055022F"/>
    <w:rsid w:val="00575492"/>
    <w:rsid w:val="00592390"/>
    <w:rsid w:val="005E4B26"/>
    <w:rsid w:val="00654B44"/>
    <w:rsid w:val="00661CEF"/>
    <w:rsid w:val="00665C7B"/>
    <w:rsid w:val="0069315D"/>
    <w:rsid w:val="006A358D"/>
    <w:rsid w:val="006A588A"/>
    <w:rsid w:val="006C7CBB"/>
    <w:rsid w:val="006D3202"/>
    <w:rsid w:val="006E1AB8"/>
    <w:rsid w:val="006F2288"/>
    <w:rsid w:val="0072032E"/>
    <w:rsid w:val="0074310F"/>
    <w:rsid w:val="00753DB3"/>
    <w:rsid w:val="0075584A"/>
    <w:rsid w:val="00755CB4"/>
    <w:rsid w:val="007622BF"/>
    <w:rsid w:val="0077134A"/>
    <w:rsid w:val="007845FA"/>
    <w:rsid w:val="007977C6"/>
    <w:rsid w:val="007D0E6D"/>
    <w:rsid w:val="007E2A84"/>
    <w:rsid w:val="00807E00"/>
    <w:rsid w:val="0081694D"/>
    <w:rsid w:val="008A74D0"/>
    <w:rsid w:val="008C20B3"/>
    <w:rsid w:val="008E0F03"/>
    <w:rsid w:val="008F3ECE"/>
    <w:rsid w:val="0092555B"/>
    <w:rsid w:val="00936E2D"/>
    <w:rsid w:val="00967854"/>
    <w:rsid w:val="009D427B"/>
    <w:rsid w:val="009D6AF6"/>
    <w:rsid w:val="009E3934"/>
    <w:rsid w:val="00A548DF"/>
    <w:rsid w:val="00A633FE"/>
    <w:rsid w:val="00A774AD"/>
    <w:rsid w:val="00B1210E"/>
    <w:rsid w:val="00B516EC"/>
    <w:rsid w:val="00B90B3F"/>
    <w:rsid w:val="00B94DDC"/>
    <w:rsid w:val="00BB376C"/>
    <w:rsid w:val="00BF41AD"/>
    <w:rsid w:val="00C12450"/>
    <w:rsid w:val="00C129D5"/>
    <w:rsid w:val="00C24C0D"/>
    <w:rsid w:val="00C33BF0"/>
    <w:rsid w:val="00C37D5D"/>
    <w:rsid w:val="00C91255"/>
    <w:rsid w:val="00C93CDA"/>
    <w:rsid w:val="00CA7261"/>
    <w:rsid w:val="00CD65FD"/>
    <w:rsid w:val="00CE2554"/>
    <w:rsid w:val="00CF41E9"/>
    <w:rsid w:val="00D33E23"/>
    <w:rsid w:val="00D4154A"/>
    <w:rsid w:val="00D60DC1"/>
    <w:rsid w:val="00D65782"/>
    <w:rsid w:val="00D677E5"/>
    <w:rsid w:val="00D80C56"/>
    <w:rsid w:val="00DC76F0"/>
    <w:rsid w:val="00DD214B"/>
    <w:rsid w:val="00DF1A55"/>
    <w:rsid w:val="00E1567F"/>
    <w:rsid w:val="00E311A0"/>
    <w:rsid w:val="00E346A5"/>
    <w:rsid w:val="00E64A13"/>
    <w:rsid w:val="00F40983"/>
    <w:rsid w:val="00F446A2"/>
    <w:rsid w:val="00F47A8B"/>
    <w:rsid w:val="00F56720"/>
    <w:rsid w:val="00FA59E9"/>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B8A"/>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1B8A"/>
    <w:pPr>
      <w:tabs>
        <w:tab w:val="center" w:pos="4153"/>
        <w:tab w:val="right" w:pos="8306"/>
      </w:tabs>
    </w:pPr>
    <w:rPr>
      <w:color w:val="auto"/>
    </w:rPr>
  </w:style>
  <w:style w:type="character" w:customStyle="1" w:styleId="HeaderChar">
    <w:name w:val="Header Char"/>
    <w:basedOn w:val="DefaultParagraphFont"/>
    <w:link w:val="Header"/>
    <w:rsid w:val="002D1B8A"/>
    <w:rPr>
      <w:rFonts w:ascii="Times New Roman" w:eastAsia="Times New Roman" w:hAnsi="Times New Roman" w:cs="Times New Roman"/>
      <w:sz w:val="24"/>
      <w:szCs w:val="20"/>
      <w:lang w:eastAsia="en-AU"/>
    </w:rPr>
  </w:style>
  <w:style w:type="character" w:styleId="PageNumber">
    <w:name w:val="page number"/>
    <w:basedOn w:val="DefaultParagraphFont"/>
    <w:rsid w:val="002D1B8A"/>
  </w:style>
  <w:style w:type="paragraph" w:styleId="ListParagraph">
    <w:name w:val="List Paragraph"/>
    <w:basedOn w:val="Normal"/>
    <w:uiPriority w:val="34"/>
    <w:qFormat/>
    <w:rsid w:val="002D1B8A"/>
    <w:pPr>
      <w:spacing w:after="200" w:line="276" w:lineRule="auto"/>
      <w:ind w:left="720"/>
      <w:contextualSpacing/>
    </w:pPr>
    <w:rPr>
      <w:rFonts w:ascii="Calibri" w:eastAsia="Calibri" w:hAnsi="Calibri"/>
      <w:color w:val="auto"/>
      <w:sz w:val="22"/>
      <w:szCs w:val="22"/>
      <w:lang w:eastAsia="en-US"/>
    </w:rPr>
  </w:style>
  <w:style w:type="paragraph" w:styleId="Footer">
    <w:name w:val="footer"/>
    <w:basedOn w:val="Normal"/>
    <w:link w:val="FooterChar"/>
    <w:uiPriority w:val="99"/>
    <w:semiHidden/>
    <w:unhideWhenUsed/>
    <w:rsid w:val="002D1B8A"/>
    <w:pPr>
      <w:tabs>
        <w:tab w:val="center" w:pos="4513"/>
        <w:tab w:val="right" w:pos="9026"/>
      </w:tabs>
    </w:pPr>
  </w:style>
  <w:style w:type="character" w:customStyle="1" w:styleId="FooterChar">
    <w:name w:val="Footer Char"/>
    <w:basedOn w:val="DefaultParagraphFont"/>
    <w:link w:val="Footer"/>
    <w:uiPriority w:val="99"/>
    <w:semiHidden/>
    <w:rsid w:val="002D1B8A"/>
    <w:rPr>
      <w:rFonts w:ascii="Times New Roman" w:eastAsia="Times New Roman" w:hAnsi="Times New Roman" w:cs="Times New Roman"/>
      <w:color w:val="000000"/>
      <w:sz w:val="24"/>
      <w:szCs w:val="20"/>
      <w:lang w:eastAsia="en-AU"/>
    </w:rPr>
  </w:style>
  <w:style w:type="character" w:styleId="Hyperlink">
    <w:name w:val="Hyperlink"/>
    <w:basedOn w:val="DefaultParagraphFont"/>
    <w:uiPriority w:val="99"/>
    <w:unhideWhenUsed/>
    <w:rsid w:val="007977C6"/>
    <w:rPr>
      <w:color w:val="0000FF"/>
      <w:u w:val="single"/>
    </w:rPr>
  </w:style>
  <w:style w:type="character" w:styleId="FollowedHyperlink">
    <w:name w:val="FollowedHyperlink"/>
    <w:basedOn w:val="DefaultParagraphFont"/>
    <w:uiPriority w:val="99"/>
    <w:semiHidden/>
    <w:unhideWhenUsed/>
    <w:rsid w:val="007D0E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Implementation_Plan%5b1%5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1788</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2071</CharactersWithSpaces>
  <SharedDoc>false</SharedDoc>
  <HyperlinkBase>https://www.cabinet.qld.gov.au/documents/2011/Apr/Operation Qlder Implementation Plan/</HyperlinkBase>
  <HLinks>
    <vt:vector size="6" baseType="variant">
      <vt:variant>
        <vt:i4>2490454</vt:i4>
      </vt:variant>
      <vt:variant>
        <vt:i4>0</vt:i4>
      </vt:variant>
      <vt:variant>
        <vt:i4>0</vt:i4>
      </vt:variant>
      <vt:variant>
        <vt:i4>5</vt:i4>
      </vt:variant>
      <vt:variant>
        <vt:lpwstr>Attachments/Implementation_Plan%5b1%5d.pdf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2017-10-24T23:04:00Z</dcterms:created>
  <dcterms:modified xsi:type="dcterms:W3CDTF">2018-03-06T01:06:00Z</dcterms:modified>
  <cp:category>Reconstruction</cp:category>
</cp:coreProperties>
</file>